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C8BE" w14:textId="77777777" w:rsidR="00DF25A0" w:rsidRDefault="00DF25A0" w:rsidP="00F36B58">
      <w:pPr>
        <w:widowControl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1B8FAB6" w14:textId="10EA1FB5" w:rsidR="00DF25A0" w:rsidRDefault="0019603A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9603A">
        <w:rPr>
          <w:rFonts w:ascii="方正小标宋简体" w:eastAsia="方正小标宋简体" w:hAnsi="黑体" w:hint="eastAsia"/>
          <w:sz w:val="32"/>
          <w:szCs w:val="32"/>
        </w:rPr>
        <w:t>授课题目</w:t>
      </w:r>
      <w:r w:rsidR="009C697D" w:rsidRPr="0019603A">
        <w:rPr>
          <w:rFonts w:ascii="方正小标宋简体" w:eastAsia="方正小标宋简体" w:hAnsi="黑体" w:hint="eastAsia"/>
          <w:sz w:val="32"/>
          <w:szCs w:val="32"/>
        </w:rPr>
        <w:t>及</w:t>
      </w:r>
      <w:r w:rsidRPr="0019603A">
        <w:rPr>
          <w:rFonts w:ascii="方正小标宋简体" w:eastAsia="方正小标宋简体" w:hAnsi="黑体" w:hint="eastAsia"/>
          <w:sz w:val="32"/>
          <w:szCs w:val="32"/>
        </w:rPr>
        <w:t>主讲内容</w:t>
      </w:r>
    </w:p>
    <w:p w14:paraId="10AD04CD" w14:textId="77777777" w:rsidR="0079248A" w:rsidRPr="0079248A" w:rsidRDefault="0079248A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40770237" w14:textId="27BF9A3E" w:rsidR="00DF25A0" w:rsidRPr="00491E26" w:rsidRDefault="00DF25A0" w:rsidP="00F36B58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91E26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="00172118">
        <w:rPr>
          <w:rFonts w:ascii="黑体" w:eastAsia="黑体" w:hAnsi="黑体" w:hint="eastAsia"/>
          <w:sz w:val="32"/>
          <w:szCs w:val="32"/>
        </w:rPr>
        <w:t>谢海强</w:t>
      </w:r>
    </w:p>
    <w:p w14:paraId="309CD99D" w14:textId="43C5DB27" w:rsidR="00DF25A0" w:rsidRPr="00491E26" w:rsidRDefault="00DF25A0" w:rsidP="00F36B58">
      <w:pPr>
        <w:pStyle w:val="a7"/>
        <w:numPr>
          <w:ilvl w:val="0"/>
          <w:numId w:val="5"/>
        </w:numPr>
        <w:spacing w:line="600" w:lineRule="exact"/>
        <w:ind w:left="0" w:firstLine="640"/>
        <w:rPr>
          <w:rFonts w:ascii="楷体" w:eastAsia="楷体" w:hAnsi="楷体" w:cs="Times New Roman" w:hint="eastAsia"/>
          <w:sz w:val="32"/>
          <w:szCs w:val="32"/>
        </w:rPr>
      </w:pPr>
      <w:r w:rsidRPr="00491E26">
        <w:rPr>
          <w:rFonts w:ascii="楷体" w:eastAsia="楷体" w:hAnsi="楷体" w:cs="Times New Roman" w:hint="eastAsia"/>
          <w:sz w:val="32"/>
          <w:szCs w:val="32"/>
        </w:rPr>
        <w:t>主讲题目</w:t>
      </w:r>
    </w:p>
    <w:p w14:paraId="2A7AE963" w14:textId="589CB0CB" w:rsidR="005E4BA8" w:rsidRDefault="00172118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当前融资担保行业的几个重大财会问题</w:t>
      </w:r>
    </w:p>
    <w:p w14:paraId="57E1B49E" w14:textId="77777777" w:rsidR="00172118" w:rsidRDefault="00DF25A0" w:rsidP="00172118">
      <w:pPr>
        <w:pStyle w:val="a7"/>
        <w:numPr>
          <w:ilvl w:val="0"/>
          <w:numId w:val="5"/>
        </w:numPr>
        <w:spacing w:line="600" w:lineRule="exact"/>
        <w:ind w:left="0" w:firstLine="640"/>
        <w:rPr>
          <w:rFonts w:ascii="楷体" w:eastAsia="楷体" w:hAnsi="楷体" w:cs="Times New Roman" w:hint="eastAsia"/>
          <w:sz w:val="32"/>
          <w:szCs w:val="32"/>
        </w:rPr>
      </w:pPr>
      <w:r w:rsidRPr="005E4BA8">
        <w:rPr>
          <w:rFonts w:ascii="楷体" w:eastAsia="楷体" w:hAnsi="楷体" w:cs="Times New Roman" w:hint="eastAsia"/>
          <w:sz w:val="32"/>
          <w:szCs w:val="32"/>
        </w:rPr>
        <w:t>授课内容</w:t>
      </w:r>
    </w:p>
    <w:p w14:paraId="70C29221" w14:textId="18D82C22" w:rsidR="00172118" w:rsidRPr="00172118" w:rsidRDefault="00172118" w:rsidP="00EF3DDB">
      <w:pPr>
        <w:spacing w:line="600" w:lineRule="exact"/>
        <w:ind w:firstLineChars="200" w:firstLine="640"/>
        <w:rPr>
          <w:rFonts w:ascii="楷体" w:eastAsia="楷体" w:hAnsi="楷体" w:cs="Times New Roman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</w:t>
      </w:r>
      <w:r w:rsidRPr="00172118">
        <w:rPr>
          <w:rFonts w:ascii="仿宋_GB2312" w:eastAsia="仿宋_GB2312" w:hAnsi="仿宋" w:hint="eastAsia"/>
          <w:sz w:val="32"/>
          <w:szCs w:val="32"/>
        </w:rPr>
        <w:t>什么是担保？</w:t>
      </w:r>
    </w:p>
    <w:p w14:paraId="1687F56F" w14:textId="1D166590" w:rsidR="00172118" w:rsidRPr="00172118" w:rsidRDefault="00172118" w:rsidP="00EF3DDB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Pr="00172118">
        <w:rPr>
          <w:rFonts w:ascii="仿宋_GB2312" w:eastAsia="仿宋_GB2312" w:hAnsi="仿宋" w:hint="eastAsia"/>
          <w:sz w:val="32"/>
          <w:szCs w:val="32"/>
        </w:rPr>
        <w:t>担保的起源与演进</w:t>
      </w:r>
    </w:p>
    <w:p w14:paraId="2D28A8B2" w14:textId="722726FD" w:rsidR="00172118" w:rsidRPr="00172118" w:rsidRDefault="00172118" w:rsidP="00EF3DDB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Pr="00172118">
        <w:rPr>
          <w:rFonts w:ascii="仿宋_GB2312" w:eastAsia="仿宋_GB2312" w:hAnsi="仿宋" w:hint="eastAsia"/>
          <w:sz w:val="32"/>
          <w:szCs w:val="32"/>
        </w:rPr>
        <w:t>担保在金融生态中的角色</w:t>
      </w:r>
    </w:p>
    <w:p w14:paraId="7B77BBCE" w14:textId="7694DEFC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" w:hint="eastAsia"/>
          <w:sz w:val="32"/>
          <w:szCs w:val="32"/>
        </w:rPr>
        <w:t>2．</w:t>
      </w:r>
      <w:r w:rsidRPr="00172118">
        <w:rPr>
          <w:rFonts w:ascii="仿宋_GB2312" w:eastAsia="仿宋_GB2312" w:hAnsi="仿宋" w:hint="eastAsia"/>
          <w:sz w:val="32"/>
          <w:szCs w:val="32"/>
        </w:rPr>
        <w:t>融资担保会计准则适用问题</w:t>
      </w:r>
    </w:p>
    <w:p w14:paraId="3B6CD4DB" w14:textId="447043F3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（1）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融资担保、财务担保合同及保险合同的定义</w:t>
      </w:r>
    </w:p>
    <w:p w14:paraId="592EBBAF" w14:textId="1D203F60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（2）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融资担保、财务担保合同与保险合同的关系</w:t>
      </w:r>
    </w:p>
    <w:p w14:paraId="70E31884" w14:textId="75A7ED0C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（3）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融资担保业务适用的会计准则的要求</w:t>
      </w:r>
    </w:p>
    <w:p w14:paraId="53306807" w14:textId="1B302C96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（4）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融资担保业务适用保险合同准则的底层逻辑</w:t>
      </w:r>
    </w:p>
    <w:p w14:paraId="0313B9ED" w14:textId="4E049284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（5）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目前融资担保公司执行会计准则情况（案例）</w:t>
      </w:r>
    </w:p>
    <w:p w14:paraId="26D0635C" w14:textId="41AB226B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（6）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思考</w:t>
      </w:r>
    </w:p>
    <w:p w14:paraId="238084FC" w14:textId="04574399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．</w:t>
      </w:r>
      <w:r w:rsidRPr="00172118">
        <w:rPr>
          <w:rFonts w:ascii="仿宋_GB2312" w:eastAsia="仿宋_GB2312" w:hAnsi="仿宋" w:hint="eastAsia"/>
          <w:sz w:val="32"/>
          <w:szCs w:val="32"/>
        </w:rPr>
        <w:t>新保险合同准则实施对融资担保公司产生重大影响</w:t>
      </w:r>
    </w:p>
    <w:p w14:paraId="147A89BF" w14:textId="79497682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（1）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新保险合同准则的背景及实施要求</w:t>
      </w:r>
    </w:p>
    <w:p w14:paraId="3C0321D4" w14:textId="4CCE65C8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28"/>
        </w:rPr>
      </w:pPr>
      <w:r w:rsidRPr="00172118">
        <w:rPr>
          <w:rFonts w:ascii="仿宋_GB2312" w:eastAsia="仿宋_GB2312" w:hAnsi="仿宋_GB2312" w:cs="仿宋_GB2312" w:hint="eastAsia"/>
          <w:sz w:val="32"/>
          <w:szCs w:val="28"/>
        </w:rPr>
        <w:t>a.新保险合同准则修订的背景</w:t>
      </w:r>
    </w:p>
    <w:p w14:paraId="5F3599C1" w14:textId="1F782531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28"/>
        </w:rPr>
      </w:pPr>
      <w:r w:rsidRPr="00172118">
        <w:rPr>
          <w:rFonts w:ascii="仿宋_GB2312" w:eastAsia="仿宋_GB2312" w:hAnsi="仿宋_GB2312" w:cs="仿宋_GB2312" w:hint="eastAsia"/>
          <w:sz w:val="32"/>
          <w:szCs w:val="28"/>
        </w:rPr>
        <w:t>b.新保险合同准则的实施要求</w:t>
      </w:r>
    </w:p>
    <w:p w14:paraId="265875DA" w14:textId="43E845C1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28"/>
        </w:rPr>
      </w:pPr>
      <w:r w:rsidRPr="00172118">
        <w:rPr>
          <w:rFonts w:ascii="仿宋_GB2312" w:eastAsia="仿宋_GB2312" w:hAnsi="仿宋_GB2312" w:cs="仿宋_GB2312" w:hint="eastAsia"/>
          <w:sz w:val="32"/>
          <w:szCs w:val="28"/>
        </w:rPr>
        <w:t>c.新旧准则衔接的相关要求</w:t>
      </w:r>
    </w:p>
    <w:p w14:paraId="10EB5260" w14:textId="77777777" w:rsidR="00EF3DDB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lastRenderedPageBreak/>
        <w:t>（2）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新保险合同准则主要的变化、与旧保险合同准则</w:t>
      </w:r>
    </w:p>
    <w:p w14:paraId="2AAE05E3" w14:textId="6B8964C2" w:rsidR="00172118" w:rsidRPr="00172118" w:rsidRDefault="00172118" w:rsidP="00EF3DDB">
      <w:pPr>
        <w:spacing w:line="360" w:lineRule="auto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的对比</w:t>
      </w:r>
    </w:p>
    <w:p w14:paraId="71249933" w14:textId="10B7D83F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a.保险合同定义的变化</w:t>
      </w:r>
    </w:p>
    <w:p w14:paraId="2A66273C" w14:textId="29059B56" w:rsidR="003373FA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b.收入确认与计量的变化</w:t>
      </w:r>
    </w:p>
    <w:p w14:paraId="7F1CC171" w14:textId="388DA8D7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c.准备金的变化</w:t>
      </w:r>
    </w:p>
    <w:p w14:paraId="0D360C2E" w14:textId="103C35B6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d.列报的变化</w:t>
      </w:r>
    </w:p>
    <w:p w14:paraId="680038A1" w14:textId="77777777" w:rsidR="00EF3DDB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（3）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新保险合同准则实施对融资担保公司财务列报的</w:t>
      </w:r>
    </w:p>
    <w:p w14:paraId="6D7E0B90" w14:textId="4E7134B7" w:rsidR="00172118" w:rsidRPr="00172118" w:rsidRDefault="00172118" w:rsidP="00EF3DDB">
      <w:pPr>
        <w:spacing w:line="360" w:lineRule="auto"/>
        <w:ind w:firstLineChars="450" w:firstLine="14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影响</w:t>
      </w:r>
    </w:p>
    <w:p w14:paraId="178E7EC3" w14:textId="5C5ADBD3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a.资产负债表的影响</w:t>
      </w:r>
    </w:p>
    <w:p w14:paraId="50A1C499" w14:textId="2ED6EE74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b.利润表的影响</w:t>
      </w:r>
    </w:p>
    <w:p w14:paraId="68FFFF8A" w14:textId="21D00E48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c.信息披露的影响</w:t>
      </w:r>
    </w:p>
    <w:p w14:paraId="3FFB48CB" w14:textId="567A0CE7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（4）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融资担保公司如何切换新保险合同准则</w:t>
      </w:r>
    </w:p>
    <w:p w14:paraId="262470A9" w14:textId="14D0A843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a.执行新保险合同准则应做的准备工作</w:t>
      </w:r>
    </w:p>
    <w:p w14:paraId="5F02BFDC" w14:textId="7658B385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b.融资担保公司执行新保险合同准则的难度</w:t>
      </w:r>
    </w:p>
    <w:p w14:paraId="07874B2B" w14:textId="09764DCF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c.与监管规定的衔接</w:t>
      </w:r>
    </w:p>
    <w:p w14:paraId="6C5B67D7" w14:textId="511767C8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4．融资担保行业准备金计提与使用问题</w:t>
      </w:r>
    </w:p>
    <w:p w14:paraId="09AB9E4B" w14:textId="0E7D162B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（1）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什么是准备金？准备金的作用是什么？</w:t>
      </w:r>
    </w:p>
    <w:p w14:paraId="17E4480A" w14:textId="76F7FD23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a.</w:t>
      </w:r>
      <w:r w:rsidRPr="00172118">
        <w:rPr>
          <w:rFonts w:ascii="仿宋_GB2312" w:eastAsia="仿宋_GB2312" w:hAnsi="仿宋_GB2312" w:cs="仿宋_GB2312"/>
          <w:sz w:val="32"/>
          <w:szCs w:val="32"/>
        </w:rPr>
        <w:t>准备金的起源</w:t>
      </w:r>
    </w:p>
    <w:p w14:paraId="2BAC623A" w14:textId="00E9E6D9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b.</w:t>
      </w:r>
      <w:r w:rsidRPr="00172118">
        <w:rPr>
          <w:rFonts w:ascii="仿宋_GB2312" w:eastAsia="仿宋_GB2312" w:hAnsi="仿宋_GB2312" w:cs="仿宋_GB2312"/>
          <w:sz w:val="32"/>
          <w:szCs w:val="32"/>
        </w:rPr>
        <w:t>准备金的定义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与</w:t>
      </w:r>
      <w:r w:rsidRPr="00172118">
        <w:rPr>
          <w:rFonts w:ascii="仿宋_GB2312" w:eastAsia="仿宋_GB2312" w:hAnsi="仿宋_GB2312" w:cs="仿宋_GB2312"/>
          <w:sz w:val="32"/>
          <w:szCs w:val="32"/>
        </w:rPr>
        <w:t>功能</w:t>
      </w:r>
    </w:p>
    <w:p w14:paraId="0F412690" w14:textId="4918BF5E" w:rsidR="00172118" w:rsidRPr="00172118" w:rsidRDefault="00172118" w:rsidP="00EF3DDB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（2）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融资担保行业准备金的构成与作用</w:t>
      </w:r>
    </w:p>
    <w:p w14:paraId="51710D78" w14:textId="6701DA03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a.</w:t>
      </w:r>
      <w:r w:rsidRPr="00172118">
        <w:rPr>
          <w:rFonts w:ascii="仿宋_GB2312" w:eastAsia="仿宋_GB2312" w:hAnsi="仿宋_GB2312" w:cs="仿宋_GB2312"/>
          <w:sz w:val="32"/>
          <w:szCs w:val="32"/>
        </w:rPr>
        <w:t>融资担保行业准备金的构成</w:t>
      </w:r>
    </w:p>
    <w:p w14:paraId="791EA668" w14:textId="30EAD1A3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b.</w:t>
      </w:r>
      <w:r w:rsidRPr="00172118">
        <w:rPr>
          <w:rFonts w:ascii="仿宋_GB2312" w:eastAsia="仿宋_GB2312" w:hAnsi="仿宋_GB2312" w:cs="仿宋_GB2312"/>
          <w:sz w:val="32"/>
          <w:szCs w:val="32"/>
        </w:rPr>
        <w:t>未到期责任准备金的定义及作用</w:t>
      </w:r>
    </w:p>
    <w:p w14:paraId="27E2E09D" w14:textId="3A79BAC5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c.</w:t>
      </w:r>
      <w:r w:rsidRPr="00172118">
        <w:rPr>
          <w:rFonts w:ascii="仿宋_GB2312" w:eastAsia="仿宋_GB2312" w:hAnsi="仿宋_GB2312" w:cs="仿宋_GB2312"/>
          <w:sz w:val="32"/>
          <w:szCs w:val="32"/>
        </w:rPr>
        <w:t>担保赔偿准备金的定义及作用</w:t>
      </w:r>
    </w:p>
    <w:p w14:paraId="45CFB230" w14:textId="630E22B5" w:rsidR="00172118" w:rsidRPr="00172118" w:rsidRDefault="00EF3DDB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d</w:t>
      </w:r>
      <w:r w:rsidR="00172118" w:rsidRPr="00172118">
        <w:rPr>
          <w:rFonts w:ascii="仿宋_GB2312" w:eastAsia="仿宋_GB2312" w:hAnsi="仿宋_GB2312" w:cs="仿宋_GB2312"/>
          <w:sz w:val="32"/>
          <w:szCs w:val="32"/>
        </w:rPr>
        <w:t>.一般风险准备金的定义及作用</w:t>
      </w:r>
    </w:p>
    <w:p w14:paraId="4BF3BC65" w14:textId="4AF62E44" w:rsidR="00172118" w:rsidRPr="00172118" w:rsidRDefault="00172118" w:rsidP="003373FA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（3）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银行、保险业准备金计提及监管标准</w:t>
      </w:r>
    </w:p>
    <w:p w14:paraId="608F4A2D" w14:textId="4DC455D9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a.商业银行</w:t>
      </w:r>
      <w:r w:rsidRPr="00172118">
        <w:rPr>
          <w:rFonts w:ascii="仿宋_GB2312" w:eastAsia="仿宋_GB2312" w:hAnsi="仿宋_GB2312" w:cs="仿宋_GB2312"/>
          <w:sz w:val="32"/>
          <w:szCs w:val="32"/>
        </w:rPr>
        <w:t>准备金的计提与监管标准</w:t>
      </w:r>
    </w:p>
    <w:p w14:paraId="741D983B" w14:textId="32A54C25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b.保险公司</w:t>
      </w:r>
      <w:r w:rsidRPr="00172118">
        <w:rPr>
          <w:rFonts w:ascii="仿宋_GB2312" w:eastAsia="仿宋_GB2312" w:hAnsi="仿宋_GB2312" w:cs="仿宋_GB2312"/>
          <w:sz w:val="32"/>
          <w:szCs w:val="32"/>
        </w:rPr>
        <w:t>准备金的计提与监管标准</w:t>
      </w:r>
    </w:p>
    <w:p w14:paraId="2E660140" w14:textId="4FB12946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c.思考</w:t>
      </w:r>
    </w:p>
    <w:p w14:paraId="0584B06F" w14:textId="77777777" w:rsidR="00EF3DDB" w:rsidRDefault="00EF3DDB" w:rsidP="003373FA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 w:rsidRPr="00172118">
        <w:rPr>
          <w:rFonts w:ascii="仿宋_GB2312" w:eastAsia="仿宋_GB2312" w:hAnsi="仿宋" w:hint="eastAsia"/>
          <w:sz w:val="32"/>
          <w:szCs w:val="32"/>
        </w:rPr>
        <w:t>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融资担保行业关于准备金的相关监管规定及会计</w:t>
      </w:r>
    </w:p>
    <w:p w14:paraId="1A4ACACB" w14:textId="6CFEC97D" w:rsidR="00172118" w:rsidRPr="00EF3DDB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准则要求</w:t>
      </w:r>
    </w:p>
    <w:p w14:paraId="42529FB8" w14:textId="223E6983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a.</w:t>
      </w:r>
      <w:r w:rsidRPr="00172118">
        <w:rPr>
          <w:rFonts w:ascii="仿宋_GB2312" w:eastAsia="仿宋_GB2312" w:hAnsi="仿宋_GB2312" w:cs="仿宋_GB2312"/>
          <w:sz w:val="32"/>
          <w:szCs w:val="32"/>
        </w:rPr>
        <w:t>暂行办法的规定</w:t>
      </w:r>
    </w:p>
    <w:p w14:paraId="76C624BD" w14:textId="2A6732D3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b.</w:t>
      </w:r>
      <w:r w:rsidRPr="00172118">
        <w:rPr>
          <w:rFonts w:ascii="仿宋_GB2312" w:eastAsia="仿宋_GB2312" w:hAnsi="仿宋_GB2312" w:cs="仿宋_GB2312"/>
          <w:sz w:val="32"/>
          <w:szCs w:val="32"/>
        </w:rPr>
        <w:t>监管条例的规定</w:t>
      </w:r>
    </w:p>
    <w:p w14:paraId="2A7C7121" w14:textId="5F7DA1DB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c.</w:t>
      </w:r>
      <w:r w:rsidRPr="00172118">
        <w:rPr>
          <w:rFonts w:ascii="仿宋_GB2312" w:eastAsia="仿宋_GB2312" w:hAnsi="仿宋_GB2312" w:cs="仿宋_GB2312"/>
          <w:sz w:val="32"/>
          <w:szCs w:val="32"/>
        </w:rPr>
        <w:t>会计准则的要求</w:t>
      </w:r>
    </w:p>
    <w:p w14:paraId="1855AC99" w14:textId="5725039D" w:rsidR="003373FA" w:rsidRDefault="00172118" w:rsidP="003373FA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（5）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当前融资担保机构计提准备金的实践做法及存在</w:t>
      </w:r>
    </w:p>
    <w:p w14:paraId="030CCC3E" w14:textId="0D2B9982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的问题</w:t>
      </w:r>
    </w:p>
    <w:p w14:paraId="5C4CC78F" w14:textId="420881EA" w:rsidR="003373FA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a.</w:t>
      </w:r>
      <w:r w:rsidRPr="00172118">
        <w:rPr>
          <w:rFonts w:ascii="仿宋_GB2312" w:eastAsia="仿宋_GB2312" w:hAnsi="仿宋_GB2312" w:cs="仿宋_GB2312"/>
          <w:sz w:val="32"/>
          <w:szCs w:val="32"/>
        </w:rPr>
        <w:t>当前融资担保机构准备金计提的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实践做法</w:t>
      </w:r>
    </w:p>
    <w:p w14:paraId="523FC877" w14:textId="77777777" w:rsidR="003373FA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b.现行</w:t>
      </w:r>
      <w:r w:rsidRPr="00172118">
        <w:rPr>
          <w:rFonts w:ascii="仿宋_GB2312" w:eastAsia="仿宋_GB2312" w:hAnsi="仿宋_GB2312" w:cs="仿宋_GB2312"/>
          <w:sz w:val="32"/>
          <w:szCs w:val="32"/>
        </w:rPr>
        <w:t>监管规定下计提准备金对融资担保机构的</w:t>
      </w:r>
    </w:p>
    <w:p w14:paraId="42F5D1B3" w14:textId="5B6CCCB7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/>
          <w:sz w:val="32"/>
          <w:szCs w:val="32"/>
        </w:rPr>
        <w:t>影响</w:t>
      </w:r>
    </w:p>
    <w:p w14:paraId="6B7A8CAD" w14:textId="1C560E8E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c.</w:t>
      </w:r>
      <w:r w:rsidRPr="00172118">
        <w:rPr>
          <w:rFonts w:ascii="仿宋_GB2312" w:eastAsia="仿宋_GB2312" w:hAnsi="仿宋_GB2312" w:cs="仿宋_GB2312"/>
          <w:sz w:val="32"/>
          <w:szCs w:val="32"/>
        </w:rPr>
        <w:t>现行准备金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计提与使用相关规定</w:t>
      </w:r>
      <w:r w:rsidRPr="00172118">
        <w:rPr>
          <w:rFonts w:ascii="仿宋_GB2312" w:eastAsia="仿宋_GB2312" w:hAnsi="仿宋_GB2312" w:cs="仿宋_GB2312"/>
          <w:sz w:val="32"/>
          <w:szCs w:val="32"/>
        </w:rPr>
        <w:t>存在的问题</w:t>
      </w:r>
    </w:p>
    <w:p w14:paraId="2789C725" w14:textId="77777777" w:rsidR="003373FA" w:rsidRDefault="00172118" w:rsidP="00D42E1F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（6）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担保赔偿准备金与应收代偿款信用减值损失的</w:t>
      </w:r>
    </w:p>
    <w:p w14:paraId="5773C215" w14:textId="77F67918" w:rsidR="00172118" w:rsidRPr="00172118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_GB2312" w:cs="仿宋_GB2312" w:hint="eastAsia"/>
          <w:sz w:val="32"/>
          <w:szCs w:val="32"/>
        </w:rPr>
        <w:t>关系</w:t>
      </w:r>
    </w:p>
    <w:p w14:paraId="0EE97593" w14:textId="3431EBF2" w:rsidR="00172118" w:rsidRPr="00172118" w:rsidRDefault="00172118" w:rsidP="003373FA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（7）</w:t>
      </w:r>
      <w:r w:rsidRPr="00172118">
        <w:rPr>
          <w:rFonts w:ascii="仿宋_GB2312" w:eastAsia="仿宋_GB2312" w:hAnsi="仿宋_GB2312" w:cs="仿宋_GB2312" w:hint="eastAsia"/>
          <w:sz w:val="32"/>
          <w:szCs w:val="32"/>
        </w:rPr>
        <w:t>思考与建议</w:t>
      </w:r>
    </w:p>
    <w:p w14:paraId="2EBE891F" w14:textId="77777777" w:rsidR="00EF3DDB" w:rsidRDefault="00172118" w:rsidP="00EF3DDB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5．</w:t>
      </w:r>
      <w:r w:rsidRPr="00172118">
        <w:rPr>
          <w:rFonts w:ascii="仿宋_GB2312" w:eastAsia="仿宋_GB2312" w:hAnsi="仿宋" w:hint="eastAsia"/>
          <w:sz w:val="32"/>
          <w:szCs w:val="32"/>
        </w:rPr>
        <w:t>担保规模的计量及代偿追偿的会计核算与信息披露</w:t>
      </w:r>
    </w:p>
    <w:p w14:paraId="2D5048FE" w14:textId="2EC3F5EE" w:rsidR="00172118" w:rsidRPr="00172118" w:rsidRDefault="00172118" w:rsidP="00EF3DDB">
      <w:pPr>
        <w:spacing w:line="360" w:lineRule="auto"/>
        <w:ind w:firstLineChars="350" w:firstLine="1120"/>
        <w:rPr>
          <w:rFonts w:ascii="仿宋_GB2312" w:eastAsia="仿宋_GB2312" w:hAnsi="仿宋" w:hint="eastAsia"/>
          <w:sz w:val="32"/>
          <w:szCs w:val="32"/>
        </w:rPr>
      </w:pPr>
      <w:r w:rsidRPr="00172118">
        <w:rPr>
          <w:rFonts w:ascii="仿宋_GB2312" w:eastAsia="仿宋_GB2312" w:hAnsi="仿宋" w:hint="eastAsia"/>
          <w:sz w:val="32"/>
          <w:szCs w:val="32"/>
        </w:rPr>
        <w:t>问题</w:t>
      </w:r>
    </w:p>
    <w:p w14:paraId="7C0D01C6" w14:textId="2ADFE4A5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lastRenderedPageBreak/>
        <w:t>（1）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业务规模、担保余额及担保责任余额的计量问题</w:t>
      </w:r>
    </w:p>
    <w:p w14:paraId="1A0A1067" w14:textId="73437B4A" w:rsidR="00172118" w:rsidRPr="00EF3DDB" w:rsidRDefault="00EF3DDB" w:rsidP="00D42E1F">
      <w:pPr>
        <w:spacing w:line="360" w:lineRule="auto"/>
        <w:ind w:firstLineChars="354" w:firstLine="1133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.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业务规模、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担保余额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及担保责任余额的定义</w:t>
      </w:r>
    </w:p>
    <w:p w14:paraId="0F24027B" w14:textId="348B1FAF" w:rsidR="00172118" w:rsidRPr="00EF3DDB" w:rsidRDefault="00EF3DDB" w:rsidP="00D42E1F">
      <w:pPr>
        <w:spacing w:line="360" w:lineRule="auto"/>
        <w:ind w:firstLineChars="354" w:firstLine="1133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b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.担保余额及担保责任余额计量的相关规定</w:t>
      </w:r>
    </w:p>
    <w:p w14:paraId="1BF15CD3" w14:textId="77777777" w:rsidR="003373FA" w:rsidRDefault="00EF3DDB" w:rsidP="003373FA">
      <w:pPr>
        <w:spacing w:line="360" w:lineRule="auto"/>
        <w:ind w:firstLineChars="354" w:firstLine="1133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c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.不同业务场景下的业务规模、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担保余额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及担保</w:t>
      </w:r>
    </w:p>
    <w:p w14:paraId="737FF1F6" w14:textId="45908E25" w:rsidR="00172118" w:rsidRPr="00EF3DDB" w:rsidRDefault="00172118" w:rsidP="00D42E1F">
      <w:pPr>
        <w:spacing w:line="360" w:lineRule="auto"/>
        <w:ind w:firstLineChars="443" w:firstLine="1418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责任余额计量问题</w:t>
      </w:r>
    </w:p>
    <w:p w14:paraId="0E725CF0" w14:textId="6142C9BB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（2）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代偿款及追偿款的会计核算问题</w:t>
      </w:r>
    </w:p>
    <w:p w14:paraId="1C232756" w14:textId="77777777" w:rsidR="003373FA" w:rsidRDefault="00EF3DDB" w:rsidP="003373FA">
      <w:pPr>
        <w:spacing w:line="360" w:lineRule="auto"/>
        <w:ind w:firstLineChars="310" w:firstLine="992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Pr="00EF3DDB">
        <w:rPr>
          <w:rFonts w:ascii="仿宋_GB2312" w:eastAsia="仿宋_GB2312" w:hAnsi="仿宋_GB2312" w:cs="仿宋_GB2312"/>
          <w:sz w:val="32"/>
          <w:szCs w:val="32"/>
        </w:rPr>
        <w:t>.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具有风险分担及补偿特征的代偿款的会计核算</w:t>
      </w:r>
    </w:p>
    <w:p w14:paraId="54640C52" w14:textId="7E72FB64" w:rsidR="00172118" w:rsidRPr="00EF3DDB" w:rsidRDefault="00172118" w:rsidP="00D42E1F">
      <w:pPr>
        <w:spacing w:line="360" w:lineRule="auto"/>
        <w:ind w:firstLineChars="398" w:firstLine="1274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问题</w:t>
      </w:r>
    </w:p>
    <w:p w14:paraId="1D399B47" w14:textId="56A3EF81" w:rsidR="00172118" w:rsidRPr="00EF3DDB" w:rsidRDefault="00EF3DDB" w:rsidP="00D42E1F">
      <w:pPr>
        <w:spacing w:line="360" w:lineRule="auto"/>
        <w:ind w:firstLineChars="310" w:firstLine="992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b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.融资担保公司对追偿款会计核算的一般做法</w:t>
      </w:r>
    </w:p>
    <w:p w14:paraId="4606C570" w14:textId="1CA51EC1" w:rsidR="00172118" w:rsidRPr="00EF3DDB" w:rsidRDefault="00EF3DDB" w:rsidP="00D42E1F">
      <w:pPr>
        <w:spacing w:line="360" w:lineRule="auto"/>
        <w:ind w:firstLineChars="310" w:firstLine="992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c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.民法典关于偿债顺序的规定</w:t>
      </w:r>
    </w:p>
    <w:p w14:paraId="6718DD7F" w14:textId="77777777" w:rsidR="00EF3DDB" w:rsidRDefault="00EF3DDB" w:rsidP="00D42E1F">
      <w:pPr>
        <w:spacing w:line="360" w:lineRule="auto"/>
        <w:ind w:firstLineChars="310" w:firstLine="992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d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.思考</w:t>
      </w:r>
    </w:p>
    <w:p w14:paraId="78BD7C3C" w14:textId="0A74424E" w:rsidR="00EF3DDB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EF3DDB">
        <w:rPr>
          <w:rFonts w:ascii="仿宋_GB2312" w:eastAsia="仿宋_GB2312" w:hAnsi="仿宋" w:hint="eastAsia"/>
          <w:sz w:val="32"/>
          <w:szCs w:val="32"/>
        </w:rPr>
        <w:t>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行业内代偿率及追偿率计算及信息披露问题</w:t>
      </w:r>
    </w:p>
    <w:p w14:paraId="7B7A5DD0" w14:textId="77777777" w:rsidR="00EF3DDB" w:rsidRPr="00EF3DDB" w:rsidRDefault="00EF3DDB" w:rsidP="00D42E1F">
      <w:pPr>
        <w:spacing w:line="360" w:lineRule="auto"/>
        <w:ind w:firstLineChars="354" w:firstLine="1133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Pr="00EF3DDB">
        <w:rPr>
          <w:rFonts w:ascii="仿宋_GB2312" w:eastAsia="仿宋_GB2312" w:hAnsi="仿宋_GB2312" w:cs="仿宋_GB2312"/>
          <w:sz w:val="32"/>
          <w:szCs w:val="32"/>
        </w:rPr>
        <w:t>.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行业内代偿率计算口径不统一问题</w:t>
      </w:r>
    </w:p>
    <w:p w14:paraId="2125C989" w14:textId="66AA974D" w:rsidR="00172118" w:rsidRPr="00EF3DDB" w:rsidRDefault="00EF3DDB" w:rsidP="00D42E1F">
      <w:pPr>
        <w:spacing w:line="360" w:lineRule="auto"/>
        <w:ind w:firstLineChars="354" w:firstLine="1133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b.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行业内追偿率计算问题</w:t>
      </w:r>
    </w:p>
    <w:p w14:paraId="41B147F7" w14:textId="0B0193CF" w:rsidR="00172118" w:rsidRPr="00EF3DDB" w:rsidRDefault="00EF3DDB" w:rsidP="00D42E1F">
      <w:pPr>
        <w:spacing w:line="360" w:lineRule="auto"/>
        <w:ind w:firstLineChars="354" w:firstLine="1133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c.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思考</w:t>
      </w:r>
    </w:p>
    <w:p w14:paraId="4922953D" w14:textId="21816D33" w:rsidR="00172118" w:rsidRPr="00EF3DDB" w:rsidRDefault="00172118" w:rsidP="00EF3DDB">
      <w:pPr>
        <w:spacing w:line="360" w:lineRule="auto"/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6．抵债资产及代偿核销的相关财会问题</w:t>
      </w:r>
    </w:p>
    <w:p w14:paraId="4EC41C14" w14:textId="5F80808F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（1）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抵债资产的会计核算及税务处理</w:t>
      </w:r>
    </w:p>
    <w:p w14:paraId="5475F9B7" w14:textId="6D223BA7" w:rsidR="00172118" w:rsidRPr="00EF3DDB" w:rsidRDefault="00EF3DDB" w:rsidP="00D42E1F">
      <w:pPr>
        <w:spacing w:line="360" w:lineRule="auto"/>
        <w:ind w:firstLineChars="354" w:firstLine="1133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a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.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会计准则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对抵债资产核算的规定</w:t>
      </w:r>
    </w:p>
    <w:p w14:paraId="4CF9C223" w14:textId="17D03812" w:rsidR="00172118" w:rsidRPr="00EF3DDB" w:rsidRDefault="00EF3DDB" w:rsidP="00D42E1F">
      <w:pPr>
        <w:spacing w:line="360" w:lineRule="auto"/>
        <w:ind w:firstLineChars="354" w:firstLine="1133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_GB2312" w:cs="仿宋_GB2312" w:hint="eastAsia"/>
          <w:sz w:val="32"/>
          <w:szCs w:val="32"/>
        </w:rPr>
        <w:t>b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.抵债资产取得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72118" w:rsidRPr="00EF3DDB">
        <w:rPr>
          <w:rFonts w:ascii="仿宋_GB2312" w:eastAsia="仿宋_GB2312" w:hAnsi="仿宋_GB2312" w:cs="仿宋_GB2312"/>
          <w:sz w:val="32"/>
          <w:szCs w:val="32"/>
        </w:rPr>
        <w:t>持有期间及处置的涉税问题</w:t>
      </w:r>
    </w:p>
    <w:p w14:paraId="24999EB2" w14:textId="3F447EBB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（2）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代偿核销的相关规定</w:t>
      </w:r>
    </w:p>
    <w:p w14:paraId="3469CE4F" w14:textId="243ACB4A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（3）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代偿核销存在的主要问题</w:t>
      </w:r>
    </w:p>
    <w:p w14:paraId="5A1C76A7" w14:textId="1DC3D885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（4）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代偿核销的会计核算及税务处理</w:t>
      </w:r>
    </w:p>
    <w:p w14:paraId="1100C93A" w14:textId="64DB3D87" w:rsidR="00172118" w:rsidRPr="00172118" w:rsidRDefault="00EF3DDB" w:rsidP="00EF3DDB">
      <w:pPr>
        <w:spacing w:line="360" w:lineRule="auto"/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7．</w:t>
      </w:r>
      <w:r w:rsidR="00172118" w:rsidRPr="00172118">
        <w:rPr>
          <w:rFonts w:ascii="仿宋_GB2312" w:eastAsia="仿宋_GB2312" w:hAnsi="仿宋" w:hint="eastAsia"/>
          <w:sz w:val="32"/>
          <w:szCs w:val="32"/>
        </w:rPr>
        <w:t>融资担保行业主要税种及税务风险解析</w:t>
      </w:r>
    </w:p>
    <w:p w14:paraId="66346067" w14:textId="1CDA9CDD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（1）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增值税规定及税务风险解析</w:t>
      </w:r>
    </w:p>
    <w:p w14:paraId="02634150" w14:textId="524168E8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（2）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所得税规定及税务风险解析</w:t>
      </w:r>
    </w:p>
    <w:p w14:paraId="34CD5123" w14:textId="1158D5E1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（3）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房产税及土地使用税规定及税务风险解析</w:t>
      </w:r>
    </w:p>
    <w:p w14:paraId="43AE7299" w14:textId="7C449DA0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（4）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印花税规定及税务风险解析</w:t>
      </w:r>
    </w:p>
    <w:p w14:paraId="166F41FC" w14:textId="0939C795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（5）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其他相关税收规定及税务风险解析</w:t>
      </w:r>
    </w:p>
    <w:p w14:paraId="45431153" w14:textId="00C1510B" w:rsidR="00172118" w:rsidRPr="00172118" w:rsidRDefault="00172118" w:rsidP="00EF3DDB">
      <w:pPr>
        <w:spacing w:line="360" w:lineRule="auto"/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8．</w:t>
      </w:r>
      <w:r w:rsidRPr="00172118">
        <w:rPr>
          <w:rFonts w:ascii="仿宋_GB2312" w:eastAsia="仿宋_GB2312" w:hAnsi="仿宋" w:hint="eastAsia"/>
          <w:sz w:val="32"/>
          <w:szCs w:val="32"/>
        </w:rPr>
        <w:t>税务监管与金税四期并行，融资担保公司如何应对？</w:t>
      </w:r>
    </w:p>
    <w:p w14:paraId="38FC8082" w14:textId="255214A0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（1）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什么是“金税工程”及“金税四期”？</w:t>
      </w:r>
    </w:p>
    <w:p w14:paraId="49DACF85" w14:textId="1A102812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（2）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金税四期的核心特征</w:t>
      </w:r>
    </w:p>
    <w:p w14:paraId="6A58086A" w14:textId="38B31E19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（3）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数电发票与金税四期的关系</w:t>
      </w:r>
    </w:p>
    <w:p w14:paraId="4E47C850" w14:textId="4408C79B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（4）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金税四期背景下税务合规风险加大的原因</w:t>
      </w:r>
    </w:p>
    <w:p w14:paraId="32DC7DEE" w14:textId="084900EA" w:rsidR="00172118" w:rsidRPr="00EF3DDB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（5）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对融资担保公司的具体影响</w:t>
      </w:r>
    </w:p>
    <w:p w14:paraId="60E79AC3" w14:textId="6D6D422F" w:rsidR="00DF25A0" w:rsidRDefault="00EF3DDB" w:rsidP="00EF3DDB">
      <w:pPr>
        <w:spacing w:line="360" w:lineRule="auto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 w:rsidRPr="00EF3DDB">
        <w:rPr>
          <w:rFonts w:ascii="仿宋_GB2312" w:eastAsia="仿宋_GB2312" w:hAnsi="仿宋" w:hint="eastAsia"/>
          <w:sz w:val="32"/>
          <w:szCs w:val="32"/>
        </w:rPr>
        <w:t>（6）</w:t>
      </w:r>
      <w:r w:rsidR="00172118" w:rsidRPr="00EF3DDB">
        <w:rPr>
          <w:rFonts w:ascii="仿宋_GB2312" w:eastAsia="仿宋_GB2312" w:hAnsi="仿宋_GB2312" w:cs="仿宋_GB2312" w:hint="eastAsia"/>
          <w:sz w:val="32"/>
          <w:szCs w:val="32"/>
        </w:rPr>
        <w:t>融资担保公司如何应对金税四期时代的严监管？</w:t>
      </w:r>
    </w:p>
    <w:p w14:paraId="2B0712BE" w14:textId="132891B5" w:rsidR="00D22F60" w:rsidRPr="00491E26" w:rsidRDefault="00D22F60" w:rsidP="00D22F60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二、王虎</w:t>
      </w:r>
    </w:p>
    <w:p w14:paraId="4966DE83" w14:textId="75FD6D27" w:rsidR="00D22F60" w:rsidRPr="00491E26" w:rsidRDefault="00D22F60" w:rsidP="00D22F60">
      <w:pPr>
        <w:pStyle w:val="a7"/>
        <w:spacing w:line="600" w:lineRule="exact"/>
        <w:ind w:left="640" w:firstLineChars="0" w:firstLine="0"/>
        <w:rPr>
          <w:rFonts w:ascii="楷体" w:eastAsia="楷体" w:hAnsi="楷体" w:cs="Times New Roman" w:hint="eastAsia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</w:t>
      </w:r>
      <w:r w:rsidRPr="00491E26">
        <w:rPr>
          <w:rFonts w:ascii="楷体" w:eastAsia="楷体" w:hAnsi="楷体" w:cs="Times New Roman" w:hint="eastAsia"/>
          <w:sz w:val="32"/>
          <w:szCs w:val="32"/>
        </w:rPr>
        <w:t>主讲题目</w:t>
      </w:r>
    </w:p>
    <w:p w14:paraId="1186C694" w14:textId="3CFB6251" w:rsidR="00D22F60" w:rsidRDefault="0040314C" w:rsidP="00D22F60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40314C">
        <w:rPr>
          <w:rFonts w:ascii="仿宋_GB2312" w:eastAsia="仿宋_GB2312" w:hAnsi="仿宋" w:hint="eastAsia"/>
          <w:sz w:val="32"/>
          <w:szCs w:val="32"/>
        </w:rPr>
        <w:t>金税四期下担保行业财税应对与财务变革</w:t>
      </w:r>
    </w:p>
    <w:p w14:paraId="7C9738FC" w14:textId="533ACAE6" w:rsidR="00D22F60" w:rsidRPr="00D22F60" w:rsidRDefault="00D22F60" w:rsidP="00D22F60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</w:t>
      </w:r>
      <w:r w:rsidRPr="00D22F60">
        <w:rPr>
          <w:rFonts w:ascii="楷体" w:eastAsia="楷体" w:hAnsi="楷体" w:cs="Times New Roman" w:hint="eastAsia"/>
          <w:sz w:val="32"/>
          <w:szCs w:val="32"/>
        </w:rPr>
        <w:t>授课内容</w:t>
      </w:r>
    </w:p>
    <w:p w14:paraId="0CF8AAAE" w14:textId="77777777" w:rsidR="00D22F60" w:rsidRPr="00130825" w:rsidRDefault="00D22F60" w:rsidP="00D22F60">
      <w:pPr>
        <w:ind w:firstLineChars="300" w:firstLine="96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第一部分：金税四期系统介绍</w:t>
      </w:r>
    </w:p>
    <w:p w14:paraId="73149F7A" w14:textId="77777777" w:rsidR="00D22F60" w:rsidRPr="00130825" w:rsidRDefault="00D22F60" w:rsidP="00D22F60">
      <w:pPr>
        <w:pStyle w:val="a7"/>
        <w:numPr>
          <w:ilvl w:val="0"/>
          <w:numId w:val="26"/>
        </w:numPr>
        <w:ind w:left="1418"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金税四期的介绍</w:t>
      </w:r>
    </w:p>
    <w:p w14:paraId="7416FFEF" w14:textId="77777777" w:rsidR="00D22F60" w:rsidRPr="00130825" w:rsidRDefault="00D22F60" w:rsidP="00D22F60">
      <w:pPr>
        <w:pStyle w:val="a7"/>
        <w:numPr>
          <w:ilvl w:val="0"/>
          <w:numId w:val="26"/>
        </w:numPr>
        <w:ind w:left="1418"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企业常见风险</w:t>
      </w:r>
    </w:p>
    <w:p w14:paraId="5ADEC426" w14:textId="77777777" w:rsidR="00D22F60" w:rsidRPr="00130825" w:rsidRDefault="00D22F60" w:rsidP="00D22F60">
      <w:pPr>
        <w:pStyle w:val="a7"/>
        <w:numPr>
          <w:ilvl w:val="0"/>
          <w:numId w:val="26"/>
        </w:numPr>
        <w:ind w:left="1418"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金税四期的影响</w:t>
      </w:r>
    </w:p>
    <w:p w14:paraId="0E60F73A" w14:textId="7EA6AA43" w:rsidR="00D22F60" w:rsidRPr="00130825" w:rsidRDefault="00D22F60" w:rsidP="00D22F60">
      <w:pPr>
        <w:pStyle w:val="a7"/>
        <w:numPr>
          <w:ilvl w:val="0"/>
          <w:numId w:val="26"/>
        </w:numPr>
        <w:ind w:left="1418"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企业应对策略</w:t>
      </w:r>
    </w:p>
    <w:p w14:paraId="38F917C1" w14:textId="77777777" w:rsidR="00D22F60" w:rsidRPr="00130825" w:rsidRDefault="00D22F60" w:rsidP="00D22F60">
      <w:pPr>
        <w:ind w:firstLineChars="300" w:firstLine="96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lastRenderedPageBreak/>
        <w:t>第二部分：税务风险的管控</w:t>
      </w:r>
    </w:p>
    <w:p w14:paraId="13DE4CCC" w14:textId="5234E448" w:rsidR="00D22F60" w:rsidRPr="00130825" w:rsidRDefault="00D22F60" w:rsidP="00D22F60">
      <w:pPr>
        <w:pStyle w:val="a7"/>
        <w:numPr>
          <w:ilvl w:val="0"/>
          <w:numId w:val="31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税务风险识别与评估方法</w:t>
      </w:r>
    </w:p>
    <w:p w14:paraId="2926F39E" w14:textId="77777777" w:rsidR="00D22F60" w:rsidRPr="00130825" w:rsidRDefault="00D22F60" w:rsidP="00D22F60">
      <w:pPr>
        <w:pStyle w:val="a7"/>
        <w:numPr>
          <w:ilvl w:val="0"/>
          <w:numId w:val="31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税务合规性管理与优化措施</w:t>
      </w:r>
    </w:p>
    <w:p w14:paraId="21971CB4" w14:textId="77777777" w:rsidR="00D22F60" w:rsidRPr="00130825" w:rsidRDefault="00D22F60" w:rsidP="00D22F60">
      <w:pPr>
        <w:pStyle w:val="a7"/>
        <w:numPr>
          <w:ilvl w:val="0"/>
          <w:numId w:val="31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税务检查与应对策略研究</w:t>
      </w:r>
    </w:p>
    <w:p w14:paraId="6C137522" w14:textId="77777777" w:rsidR="00D22F60" w:rsidRPr="00130825" w:rsidRDefault="00D22F60" w:rsidP="00D22F60">
      <w:pPr>
        <w:pStyle w:val="a7"/>
        <w:numPr>
          <w:ilvl w:val="0"/>
          <w:numId w:val="31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内部控制在税务风险管理中应用</w:t>
      </w:r>
    </w:p>
    <w:p w14:paraId="22C5CB59" w14:textId="6413F10D" w:rsidR="00D22F60" w:rsidRPr="00130825" w:rsidRDefault="00D22F60" w:rsidP="00D22F60">
      <w:pPr>
        <w:pStyle w:val="a7"/>
        <w:numPr>
          <w:ilvl w:val="0"/>
          <w:numId w:val="31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人才培养和团队建设在税务风险防控中作用</w:t>
      </w:r>
    </w:p>
    <w:p w14:paraId="1916CCDB" w14:textId="77777777" w:rsidR="00D22F60" w:rsidRPr="00130825" w:rsidRDefault="00D22F60" w:rsidP="00D22F60">
      <w:pPr>
        <w:ind w:firstLineChars="300" w:firstLine="96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第三部分：担保行业涉税政策的梳理</w:t>
      </w:r>
    </w:p>
    <w:p w14:paraId="378E3927" w14:textId="66335433" w:rsidR="00D22F60" w:rsidRPr="00130825" w:rsidRDefault="00D22F60" w:rsidP="00D22F60">
      <w:pPr>
        <w:pStyle w:val="a7"/>
        <w:numPr>
          <w:ilvl w:val="0"/>
          <w:numId w:val="32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小微利企业的优惠政策</w:t>
      </w:r>
    </w:p>
    <w:p w14:paraId="07399A6D" w14:textId="77777777" w:rsidR="00D22F60" w:rsidRPr="00130825" w:rsidRDefault="00D22F60" w:rsidP="00D22F60">
      <w:pPr>
        <w:pStyle w:val="a7"/>
        <w:numPr>
          <w:ilvl w:val="0"/>
          <w:numId w:val="32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发票相关政策</w:t>
      </w:r>
    </w:p>
    <w:p w14:paraId="3C250F0B" w14:textId="77777777" w:rsidR="00D22F60" w:rsidRPr="00130825" w:rsidRDefault="00D22F60" w:rsidP="00D22F60">
      <w:pPr>
        <w:pStyle w:val="a7"/>
        <w:numPr>
          <w:ilvl w:val="0"/>
          <w:numId w:val="32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资产损失扣除问题分析</w:t>
      </w:r>
    </w:p>
    <w:p w14:paraId="0EC13423" w14:textId="77777777" w:rsidR="00D22F60" w:rsidRPr="00130825" w:rsidRDefault="00D22F60" w:rsidP="00D22F60">
      <w:pPr>
        <w:pStyle w:val="a7"/>
        <w:numPr>
          <w:ilvl w:val="0"/>
          <w:numId w:val="32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抵债资产涉税问题分析</w:t>
      </w:r>
    </w:p>
    <w:p w14:paraId="7E1199A3" w14:textId="77777777" w:rsidR="00D22F60" w:rsidRPr="00130825" w:rsidRDefault="00D22F60" w:rsidP="00D22F60">
      <w:pPr>
        <w:pStyle w:val="a7"/>
        <w:numPr>
          <w:ilvl w:val="0"/>
          <w:numId w:val="32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破产重整企业涉税问题分析</w:t>
      </w:r>
    </w:p>
    <w:p w14:paraId="3CAD3095" w14:textId="784B5BE7" w:rsidR="00D22F60" w:rsidRPr="00130825" w:rsidRDefault="00D22F60" w:rsidP="00D22F60">
      <w:pPr>
        <w:pStyle w:val="a7"/>
        <w:numPr>
          <w:ilvl w:val="0"/>
          <w:numId w:val="32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其他相关政策分析</w:t>
      </w:r>
    </w:p>
    <w:p w14:paraId="5B2DA1A3" w14:textId="2425B197" w:rsidR="00D22F60" w:rsidRPr="00130825" w:rsidRDefault="00D22F60" w:rsidP="00D22F60">
      <w:pPr>
        <w:ind w:firstLineChars="300" w:firstLine="96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第四部分：增值税法的介绍</w:t>
      </w:r>
    </w:p>
    <w:p w14:paraId="5209856E" w14:textId="5250B064" w:rsidR="00D22F60" w:rsidRPr="00130825" w:rsidRDefault="00D22F60" w:rsidP="00D22F60">
      <w:pPr>
        <w:pStyle w:val="a7"/>
        <w:numPr>
          <w:ilvl w:val="0"/>
          <w:numId w:val="33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强调增值税应税交易的“有偿”性</w:t>
      </w:r>
    </w:p>
    <w:p w14:paraId="01D2BFD2" w14:textId="77777777" w:rsidR="00D22F60" w:rsidRPr="00130825" w:rsidRDefault="00D22F60" w:rsidP="00D22F60">
      <w:pPr>
        <w:pStyle w:val="a7"/>
        <w:numPr>
          <w:ilvl w:val="0"/>
          <w:numId w:val="33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“视同销售”条款精简</w:t>
      </w:r>
    </w:p>
    <w:p w14:paraId="2A3972C0" w14:textId="77777777" w:rsidR="00D22F60" w:rsidRPr="00130825" w:rsidRDefault="00D22F60" w:rsidP="00D22F60">
      <w:pPr>
        <w:pStyle w:val="a7"/>
        <w:numPr>
          <w:ilvl w:val="0"/>
          <w:numId w:val="33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5%征收率未体现需关注后续细则</w:t>
      </w:r>
    </w:p>
    <w:p w14:paraId="722D397E" w14:textId="77777777" w:rsidR="00D22F60" w:rsidRPr="00130825" w:rsidRDefault="00D22F60" w:rsidP="00D22F60">
      <w:pPr>
        <w:pStyle w:val="a7"/>
        <w:numPr>
          <w:ilvl w:val="0"/>
          <w:numId w:val="33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适用税率以“主要业务”进行判断</w:t>
      </w:r>
    </w:p>
    <w:p w14:paraId="1F3649DA" w14:textId="77777777" w:rsidR="00D22F60" w:rsidRPr="00130825" w:rsidRDefault="00D22F60" w:rsidP="00D22F60">
      <w:pPr>
        <w:pStyle w:val="a7"/>
        <w:numPr>
          <w:ilvl w:val="0"/>
          <w:numId w:val="33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留抵退在规定中有一定的自主选择权</w:t>
      </w:r>
    </w:p>
    <w:p w14:paraId="4C87064E" w14:textId="129953F3" w:rsidR="00D22F60" w:rsidRPr="00130825" w:rsidRDefault="00D22F60" w:rsidP="00D22F60">
      <w:pPr>
        <w:pStyle w:val="a7"/>
        <w:numPr>
          <w:ilvl w:val="0"/>
          <w:numId w:val="33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进项税抵扣有新调整</w:t>
      </w:r>
    </w:p>
    <w:p w14:paraId="7309B314" w14:textId="77777777" w:rsidR="00D22F60" w:rsidRPr="00130825" w:rsidRDefault="00D22F60" w:rsidP="00D22F60">
      <w:pPr>
        <w:ind w:firstLineChars="300" w:firstLine="96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第五部分：财务数字化与智能化建设的探讨</w:t>
      </w:r>
    </w:p>
    <w:p w14:paraId="63D84955" w14:textId="7B821B0A" w:rsidR="00D22F60" w:rsidRPr="00130825" w:rsidRDefault="00D22F60" w:rsidP="00D22F60">
      <w:pPr>
        <w:pStyle w:val="a7"/>
        <w:numPr>
          <w:ilvl w:val="0"/>
          <w:numId w:val="3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财务数字化与智能化概述</w:t>
      </w:r>
    </w:p>
    <w:p w14:paraId="5D448FB9" w14:textId="77777777" w:rsidR="00D22F60" w:rsidRPr="00130825" w:rsidRDefault="00D22F60" w:rsidP="00D22F60">
      <w:pPr>
        <w:pStyle w:val="a7"/>
        <w:numPr>
          <w:ilvl w:val="0"/>
          <w:numId w:val="3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lastRenderedPageBreak/>
        <w:t>财务数字化建设基础与框架</w:t>
      </w:r>
    </w:p>
    <w:p w14:paraId="4F00EDB3" w14:textId="77777777" w:rsidR="00D22F60" w:rsidRPr="00130825" w:rsidRDefault="00D22F60" w:rsidP="00D22F60">
      <w:pPr>
        <w:pStyle w:val="a7"/>
        <w:numPr>
          <w:ilvl w:val="0"/>
          <w:numId w:val="3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智能化技术在财务领域应用实践</w:t>
      </w:r>
    </w:p>
    <w:p w14:paraId="2FF0D148" w14:textId="77777777" w:rsidR="00D22F60" w:rsidRPr="00130825" w:rsidRDefault="00D22F60" w:rsidP="00D22F60">
      <w:pPr>
        <w:pStyle w:val="a7"/>
        <w:numPr>
          <w:ilvl w:val="0"/>
          <w:numId w:val="3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财务数字化与智能化未来展望</w:t>
      </w:r>
    </w:p>
    <w:p w14:paraId="34152A5D" w14:textId="0F6CD11C" w:rsidR="00D22F60" w:rsidRPr="00130825" w:rsidRDefault="00D22F60" w:rsidP="00D22F60">
      <w:pPr>
        <w:pStyle w:val="a7"/>
        <w:numPr>
          <w:ilvl w:val="0"/>
          <w:numId w:val="3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130825">
        <w:rPr>
          <w:rFonts w:ascii="仿宋_GB2312" w:eastAsia="仿宋_GB2312" w:hint="eastAsia"/>
          <w:bCs/>
          <w:sz w:val="32"/>
          <w:szCs w:val="32"/>
        </w:rPr>
        <w:t>实施财务数字化与智能化策略建议</w:t>
      </w:r>
    </w:p>
    <w:sectPr w:rsidR="00D22F60" w:rsidRPr="00130825" w:rsidSect="00C84D82">
      <w:footerReference w:type="default" r:id="rId7"/>
      <w:pgSz w:w="11906" w:h="16838"/>
      <w:pgMar w:top="1440" w:right="1800" w:bottom="1440" w:left="1800" w:header="851" w:footer="992" w:gutter="0"/>
      <w:pgNumType w:fmt="numberInDash" w:start="7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93006" w14:textId="77777777" w:rsidR="001D41D1" w:rsidRDefault="001D41D1" w:rsidP="00DF25A0">
      <w:pPr>
        <w:rPr>
          <w:rFonts w:hint="eastAsia"/>
        </w:rPr>
      </w:pPr>
      <w:r>
        <w:separator/>
      </w:r>
    </w:p>
  </w:endnote>
  <w:endnote w:type="continuationSeparator" w:id="0">
    <w:p w14:paraId="604AD81A" w14:textId="77777777" w:rsidR="001D41D1" w:rsidRDefault="001D41D1" w:rsidP="00DF25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088161"/>
      <w:docPartObj>
        <w:docPartGallery w:val="Page Numbers (Bottom of Page)"/>
        <w:docPartUnique/>
      </w:docPartObj>
    </w:sdtPr>
    <w:sdtEndPr/>
    <w:sdtContent>
      <w:p w14:paraId="51F3565F" w14:textId="25202B92" w:rsidR="00967A49" w:rsidRDefault="00967A49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084C19" w14:textId="77777777" w:rsidR="00EC56D9" w:rsidRDefault="00EC56D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AC49" w14:textId="77777777" w:rsidR="001D41D1" w:rsidRDefault="001D41D1" w:rsidP="00DF25A0">
      <w:pPr>
        <w:rPr>
          <w:rFonts w:hint="eastAsia"/>
        </w:rPr>
      </w:pPr>
      <w:r>
        <w:separator/>
      </w:r>
    </w:p>
  </w:footnote>
  <w:footnote w:type="continuationSeparator" w:id="0">
    <w:p w14:paraId="01F8FA8F" w14:textId="77777777" w:rsidR="001D41D1" w:rsidRDefault="001D41D1" w:rsidP="00DF25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9C0EDD"/>
    <w:multiLevelType w:val="singleLevel"/>
    <w:tmpl w:val="E49C0ED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420843"/>
    <w:multiLevelType w:val="hybridMultilevel"/>
    <w:tmpl w:val="87BA671C"/>
    <w:lvl w:ilvl="0" w:tplc="A6E4E7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042063AE"/>
    <w:multiLevelType w:val="hybridMultilevel"/>
    <w:tmpl w:val="7700BF6E"/>
    <w:lvl w:ilvl="0" w:tplc="C85624BE">
      <w:start w:val="1"/>
      <w:numFmt w:val="japaneseCounting"/>
      <w:lvlText w:val="（%1）"/>
      <w:lvlJc w:val="left"/>
      <w:pPr>
        <w:ind w:left="1932" w:hanging="1080"/>
      </w:pPr>
      <w:rPr>
        <w:rFonts w:hint="default"/>
      </w:rPr>
    </w:lvl>
    <w:lvl w:ilvl="1" w:tplc="80525F78">
      <w:start w:val="2"/>
      <w:numFmt w:val="decimalFullWidth"/>
      <w:lvlText w:val="%2．"/>
      <w:lvlJc w:val="left"/>
      <w:pPr>
        <w:ind w:left="18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3" w15:restartNumberingAfterBreak="0">
    <w:nsid w:val="0BEC1609"/>
    <w:multiLevelType w:val="hybridMultilevel"/>
    <w:tmpl w:val="39EA4F7C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4" w15:restartNumberingAfterBreak="0">
    <w:nsid w:val="0C751037"/>
    <w:multiLevelType w:val="hybridMultilevel"/>
    <w:tmpl w:val="5D168DD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5" w15:restartNumberingAfterBreak="0">
    <w:nsid w:val="0D542FCF"/>
    <w:multiLevelType w:val="singleLevel"/>
    <w:tmpl w:val="0D542F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8CD19C4"/>
    <w:multiLevelType w:val="hybridMultilevel"/>
    <w:tmpl w:val="F4A6205A"/>
    <w:lvl w:ilvl="0" w:tplc="B28E97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7" w15:restartNumberingAfterBreak="0">
    <w:nsid w:val="18CF9083"/>
    <w:multiLevelType w:val="singleLevel"/>
    <w:tmpl w:val="18CF9083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8" w15:restartNumberingAfterBreak="0">
    <w:nsid w:val="1CF77384"/>
    <w:multiLevelType w:val="singleLevel"/>
    <w:tmpl w:val="8234A048"/>
    <w:lvl w:ilvl="0">
      <w:start w:val="1"/>
      <w:numFmt w:val="decimal"/>
      <w:suff w:val="nothing"/>
      <w:lvlText w:val="%1．"/>
      <w:lvlJc w:val="left"/>
      <w:rPr>
        <w:rFonts w:ascii="仿宋_GB2312" w:eastAsia="仿宋_GB2312" w:hAnsi="仿宋" w:cstheme="minorBidi"/>
      </w:rPr>
    </w:lvl>
  </w:abstractNum>
  <w:abstractNum w:abstractNumId="9" w15:restartNumberingAfterBreak="0">
    <w:nsid w:val="1FBB04FD"/>
    <w:multiLevelType w:val="hybridMultilevel"/>
    <w:tmpl w:val="C1847926"/>
    <w:lvl w:ilvl="0" w:tplc="94F64BD0">
      <w:start w:val="2"/>
      <w:numFmt w:val="decimal"/>
      <w:lvlText w:val="（%1）"/>
      <w:lvlJc w:val="left"/>
      <w:pPr>
        <w:ind w:left="12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0" w15:restartNumberingAfterBreak="0">
    <w:nsid w:val="232E4A2B"/>
    <w:multiLevelType w:val="hybridMultilevel"/>
    <w:tmpl w:val="01B4C5A2"/>
    <w:lvl w:ilvl="0" w:tplc="A3B62A5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11" w15:restartNumberingAfterBreak="0">
    <w:nsid w:val="254F71CB"/>
    <w:multiLevelType w:val="hybridMultilevel"/>
    <w:tmpl w:val="15409FBA"/>
    <w:lvl w:ilvl="0" w:tplc="87D215E4">
      <w:start w:val="1"/>
      <w:numFmt w:val="decimal"/>
      <w:lvlText w:val="%1．"/>
      <w:lvlJc w:val="left"/>
      <w:pPr>
        <w:ind w:left="1360" w:hanging="720"/>
      </w:pPr>
      <w:rPr>
        <w:rFonts w:ascii="仿宋_GB2312" w:eastAsia="仿宋_GB2312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2" w15:restartNumberingAfterBreak="0">
    <w:nsid w:val="25B67819"/>
    <w:multiLevelType w:val="hybridMultilevel"/>
    <w:tmpl w:val="B8C63B3E"/>
    <w:lvl w:ilvl="0" w:tplc="BEE8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EE7FA6"/>
    <w:multiLevelType w:val="hybridMultilevel"/>
    <w:tmpl w:val="ACE8E5E0"/>
    <w:lvl w:ilvl="0" w:tplc="7E18BF3A">
      <w:start w:val="1"/>
      <w:numFmt w:val="decimal"/>
      <w:lvlText w:val="（%1）"/>
      <w:lvlJc w:val="left"/>
      <w:pPr>
        <w:ind w:left="1400" w:hanging="1080"/>
      </w:pPr>
      <w:rPr>
        <w:rFonts w:ascii="仿宋_GB2312" w:eastAsia="仿宋_GB2312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14" w15:restartNumberingAfterBreak="0">
    <w:nsid w:val="2AFE0463"/>
    <w:multiLevelType w:val="hybridMultilevel"/>
    <w:tmpl w:val="DEE2443A"/>
    <w:lvl w:ilvl="0" w:tplc="FD264D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5" w15:restartNumberingAfterBreak="0">
    <w:nsid w:val="2C364D69"/>
    <w:multiLevelType w:val="hybridMultilevel"/>
    <w:tmpl w:val="22BE5146"/>
    <w:lvl w:ilvl="0" w:tplc="45DC8B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16" w15:restartNumberingAfterBreak="0">
    <w:nsid w:val="31A0079C"/>
    <w:multiLevelType w:val="hybridMultilevel"/>
    <w:tmpl w:val="8E76B9BE"/>
    <w:lvl w:ilvl="0" w:tplc="C3CE442A">
      <w:start w:val="1"/>
      <w:numFmt w:val="decimalFullWidth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7" w15:restartNumberingAfterBreak="0">
    <w:nsid w:val="32B17687"/>
    <w:multiLevelType w:val="hybridMultilevel"/>
    <w:tmpl w:val="12B63068"/>
    <w:lvl w:ilvl="0" w:tplc="7DAA77EC">
      <w:start w:val="3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62406F8"/>
    <w:multiLevelType w:val="hybridMultilevel"/>
    <w:tmpl w:val="E2E85D8A"/>
    <w:lvl w:ilvl="0" w:tplc="C6B47C8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19" w15:restartNumberingAfterBreak="0">
    <w:nsid w:val="486B04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20" w15:restartNumberingAfterBreak="0">
    <w:nsid w:val="49226732"/>
    <w:multiLevelType w:val="hybridMultilevel"/>
    <w:tmpl w:val="5B6804F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21" w15:restartNumberingAfterBreak="0">
    <w:nsid w:val="4B8A2BB1"/>
    <w:multiLevelType w:val="hybridMultilevel"/>
    <w:tmpl w:val="DE3E899C"/>
    <w:lvl w:ilvl="0" w:tplc="9AECD130">
      <w:start w:val="7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FD90936"/>
    <w:multiLevelType w:val="hybridMultilevel"/>
    <w:tmpl w:val="C630BD18"/>
    <w:lvl w:ilvl="0" w:tplc="8BA609BC">
      <w:start w:val="7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56862BDB"/>
    <w:multiLevelType w:val="hybridMultilevel"/>
    <w:tmpl w:val="0F7C74EC"/>
    <w:lvl w:ilvl="0" w:tplc="0444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C50705"/>
    <w:multiLevelType w:val="hybridMultilevel"/>
    <w:tmpl w:val="0B7255E4"/>
    <w:lvl w:ilvl="0" w:tplc="0164AE8E">
      <w:start w:val="2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5" w15:restartNumberingAfterBreak="0">
    <w:nsid w:val="5B5100D7"/>
    <w:multiLevelType w:val="hybridMultilevel"/>
    <w:tmpl w:val="E9945E30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26" w15:restartNumberingAfterBreak="0">
    <w:nsid w:val="67B01C08"/>
    <w:multiLevelType w:val="hybridMultilevel"/>
    <w:tmpl w:val="4EB27744"/>
    <w:lvl w:ilvl="0" w:tplc="8924C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AE0F8E"/>
    <w:multiLevelType w:val="hybridMultilevel"/>
    <w:tmpl w:val="D0EC73DC"/>
    <w:lvl w:ilvl="0" w:tplc="683672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8" w15:restartNumberingAfterBreak="0">
    <w:nsid w:val="6DE66A7E"/>
    <w:multiLevelType w:val="hybridMultilevel"/>
    <w:tmpl w:val="6E96CD04"/>
    <w:lvl w:ilvl="0" w:tplc="700AC648">
      <w:start w:val="4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71B16FD2"/>
    <w:multiLevelType w:val="hybridMultilevel"/>
    <w:tmpl w:val="556A524A"/>
    <w:lvl w:ilvl="0" w:tplc="4FF84638">
      <w:start w:val="3"/>
      <w:numFmt w:val="decimal"/>
      <w:lvlText w:val="（%1）"/>
      <w:lvlJc w:val="left"/>
      <w:pPr>
        <w:ind w:left="1875" w:hanging="1080"/>
      </w:pPr>
      <w:rPr>
        <w:rFonts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40"/>
      </w:pPr>
    </w:lvl>
    <w:lvl w:ilvl="2" w:tplc="0409001B" w:tentative="1">
      <w:start w:val="1"/>
      <w:numFmt w:val="lowerRoman"/>
      <w:lvlText w:val="%3."/>
      <w:lvlJc w:val="right"/>
      <w:pPr>
        <w:ind w:left="2115" w:hanging="440"/>
      </w:pPr>
    </w:lvl>
    <w:lvl w:ilvl="3" w:tplc="0409000F" w:tentative="1">
      <w:start w:val="1"/>
      <w:numFmt w:val="decimal"/>
      <w:lvlText w:val="%4."/>
      <w:lvlJc w:val="left"/>
      <w:pPr>
        <w:ind w:left="2555" w:hanging="440"/>
      </w:pPr>
    </w:lvl>
    <w:lvl w:ilvl="4" w:tplc="04090019" w:tentative="1">
      <w:start w:val="1"/>
      <w:numFmt w:val="lowerLetter"/>
      <w:lvlText w:val="%5)"/>
      <w:lvlJc w:val="left"/>
      <w:pPr>
        <w:ind w:left="2995" w:hanging="440"/>
      </w:pPr>
    </w:lvl>
    <w:lvl w:ilvl="5" w:tplc="0409001B" w:tentative="1">
      <w:start w:val="1"/>
      <w:numFmt w:val="lowerRoman"/>
      <w:lvlText w:val="%6."/>
      <w:lvlJc w:val="right"/>
      <w:pPr>
        <w:ind w:left="3435" w:hanging="440"/>
      </w:pPr>
    </w:lvl>
    <w:lvl w:ilvl="6" w:tplc="0409000F" w:tentative="1">
      <w:start w:val="1"/>
      <w:numFmt w:val="decimal"/>
      <w:lvlText w:val="%7."/>
      <w:lvlJc w:val="left"/>
      <w:pPr>
        <w:ind w:left="3875" w:hanging="440"/>
      </w:pPr>
    </w:lvl>
    <w:lvl w:ilvl="7" w:tplc="04090019" w:tentative="1">
      <w:start w:val="1"/>
      <w:numFmt w:val="lowerLetter"/>
      <w:lvlText w:val="%8)"/>
      <w:lvlJc w:val="left"/>
      <w:pPr>
        <w:ind w:left="4315" w:hanging="440"/>
      </w:pPr>
    </w:lvl>
    <w:lvl w:ilvl="8" w:tplc="0409001B" w:tentative="1">
      <w:start w:val="1"/>
      <w:numFmt w:val="lowerRoman"/>
      <w:lvlText w:val="%9."/>
      <w:lvlJc w:val="right"/>
      <w:pPr>
        <w:ind w:left="4755" w:hanging="440"/>
      </w:pPr>
    </w:lvl>
  </w:abstractNum>
  <w:abstractNum w:abstractNumId="30" w15:restartNumberingAfterBreak="0">
    <w:nsid w:val="71B457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31" w15:restartNumberingAfterBreak="0">
    <w:nsid w:val="74A06FC2"/>
    <w:multiLevelType w:val="hybridMultilevel"/>
    <w:tmpl w:val="4790C798"/>
    <w:lvl w:ilvl="0" w:tplc="AE183B1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32" w15:restartNumberingAfterBreak="0">
    <w:nsid w:val="74A477AA"/>
    <w:multiLevelType w:val="hybridMultilevel"/>
    <w:tmpl w:val="6A944696"/>
    <w:lvl w:ilvl="0" w:tplc="E56E53B2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3" w15:restartNumberingAfterBreak="0">
    <w:nsid w:val="7B826D0D"/>
    <w:multiLevelType w:val="hybridMultilevel"/>
    <w:tmpl w:val="D5E0B12A"/>
    <w:lvl w:ilvl="0" w:tplc="9F9C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2273962">
    <w:abstractNumId w:val="7"/>
  </w:num>
  <w:num w:numId="2" w16cid:durableId="1070273316">
    <w:abstractNumId w:val="14"/>
  </w:num>
  <w:num w:numId="3" w16cid:durableId="182788910">
    <w:abstractNumId w:val="1"/>
  </w:num>
  <w:num w:numId="4" w16cid:durableId="989135791">
    <w:abstractNumId w:val="24"/>
  </w:num>
  <w:num w:numId="5" w16cid:durableId="1590891032">
    <w:abstractNumId w:val="2"/>
  </w:num>
  <w:num w:numId="6" w16cid:durableId="2040205280">
    <w:abstractNumId w:val="19"/>
  </w:num>
  <w:num w:numId="7" w16cid:durableId="1398555615">
    <w:abstractNumId w:val="32"/>
  </w:num>
  <w:num w:numId="8" w16cid:durableId="556820027">
    <w:abstractNumId w:val="11"/>
  </w:num>
  <w:num w:numId="9" w16cid:durableId="1289119471">
    <w:abstractNumId w:val="27"/>
  </w:num>
  <w:num w:numId="10" w16cid:durableId="802039208">
    <w:abstractNumId w:val="30"/>
  </w:num>
  <w:num w:numId="11" w16cid:durableId="1711177202">
    <w:abstractNumId w:val="3"/>
  </w:num>
  <w:num w:numId="12" w16cid:durableId="2013028100">
    <w:abstractNumId w:val="25"/>
  </w:num>
  <w:num w:numId="13" w16cid:durableId="1888911190">
    <w:abstractNumId w:val="20"/>
  </w:num>
  <w:num w:numId="14" w16cid:durableId="1865944688">
    <w:abstractNumId w:val="4"/>
  </w:num>
  <w:num w:numId="15" w16cid:durableId="817845747">
    <w:abstractNumId w:val="8"/>
  </w:num>
  <w:num w:numId="16" w16cid:durableId="80100853">
    <w:abstractNumId w:val="0"/>
  </w:num>
  <w:num w:numId="17" w16cid:durableId="1453866525">
    <w:abstractNumId w:val="5"/>
  </w:num>
  <w:num w:numId="18" w16cid:durableId="159395551">
    <w:abstractNumId w:val="16"/>
  </w:num>
  <w:num w:numId="19" w16cid:durableId="1654139988">
    <w:abstractNumId w:val="9"/>
  </w:num>
  <w:num w:numId="20" w16cid:durableId="1151168095">
    <w:abstractNumId w:val="13"/>
  </w:num>
  <w:num w:numId="21" w16cid:durableId="1420444173">
    <w:abstractNumId w:val="28"/>
  </w:num>
  <w:num w:numId="22" w16cid:durableId="1273710707">
    <w:abstractNumId w:val="29"/>
  </w:num>
  <w:num w:numId="23" w16cid:durableId="305625601">
    <w:abstractNumId w:val="22"/>
  </w:num>
  <w:num w:numId="24" w16cid:durableId="1495100958">
    <w:abstractNumId w:val="21"/>
  </w:num>
  <w:num w:numId="25" w16cid:durableId="216013693">
    <w:abstractNumId w:val="17"/>
  </w:num>
  <w:num w:numId="26" w16cid:durableId="1900050851">
    <w:abstractNumId w:val="6"/>
  </w:num>
  <w:num w:numId="27" w16cid:durableId="1329216270">
    <w:abstractNumId w:val="12"/>
  </w:num>
  <w:num w:numId="28" w16cid:durableId="1493175628">
    <w:abstractNumId w:val="26"/>
  </w:num>
  <w:num w:numId="29" w16cid:durableId="346756361">
    <w:abstractNumId w:val="23"/>
  </w:num>
  <w:num w:numId="30" w16cid:durableId="1689520043">
    <w:abstractNumId w:val="33"/>
  </w:num>
  <w:num w:numId="31" w16cid:durableId="1204250995">
    <w:abstractNumId w:val="15"/>
  </w:num>
  <w:num w:numId="32" w16cid:durableId="816609720">
    <w:abstractNumId w:val="18"/>
  </w:num>
  <w:num w:numId="33" w16cid:durableId="130951299">
    <w:abstractNumId w:val="31"/>
  </w:num>
  <w:num w:numId="34" w16cid:durableId="17680390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295"/>
    <w:rsid w:val="00007F9B"/>
    <w:rsid w:val="00031786"/>
    <w:rsid w:val="000442CA"/>
    <w:rsid w:val="0005396F"/>
    <w:rsid w:val="000B6C33"/>
    <w:rsid w:val="000D150B"/>
    <w:rsid w:val="000D1604"/>
    <w:rsid w:val="001023F6"/>
    <w:rsid w:val="00130825"/>
    <w:rsid w:val="00172118"/>
    <w:rsid w:val="0019603A"/>
    <w:rsid w:val="001D41D1"/>
    <w:rsid w:val="001D4C09"/>
    <w:rsid w:val="002327D7"/>
    <w:rsid w:val="002A615C"/>
    <w:rsid w:val="00306302"/>
    <w:rsid w:val="003373FA"/>
    <w:rsid w:val="003F1A99"/>
    <w:rsid w:val="003F44B2"/>
    <w:rsid w:val="0040314C"/>
    <w:rsid w:val="004D6CD8"/>
    <w:rsid w:val="004E7650"/>
    <w:rsid w:val="005277BF"/>
    <w:rsid w:val="005664F6"/>
    <w:rsid w:val="00577CC8"/>
    <w:rsid w:val="005B5D0B"/>
    <w:rsid w:val="005E4BA8"/>
    <w:rsid w:val="0063547A"/>
    <w:rsid w:val="00667C0D"/>
    <w:rsid w:val="006A7704"/>
    <w:rsid w:val="00767295"/>
    <w:rsid w:val="0077723D"/>
    <w:rsid w:val="0079248A"/>
    <w:rsid w:val="0079526E"/>
    <w:rsid w:val="007B0E6F"/>
    <w:rsid w:val="007B6406"/>
    <w:rsid w:val="008014BD"/>
    <w:rsid w:val="008258F3"/>
    <w:rsid w:val="00864D68"/>
    <w:rsid w:val="00892FA9"/>
    <w:rsid w:val="00934D4E"/>
    <w:rsid w:val="00967A49"/>
    <w:rsid w:val="009A1989"/>
    <w:rsid w:val="009C697D"/>
    <w:rsid w:val="009D3D55"/>
    <w:rsid w:val="009D443E"/>
    <w:rsid w:val="00AA42BF"/>
    <w:rsid w:val="00B71A4C"/>
    <w:rsid w:val="00BC5D45"/>
    <w:rsid w:val="00C26276"/>
    <w:rsid w:val="00C30E5C"/>
    <w:rsid w:val="00C56733"/>
    <w:rsid w:val="00C70283"/>
    <w:rsid w:val="00C84D82"/>
    <w:rsid w:val="00D22F60"/>
    <w:rsid w:val="00D42E1F"/>
    <w:rsid w:val="00D75A81"/>
    <w:rsid w:val="00DA73C3"/>
    <w:rsid w:val="00DF25A0"/>
    <w:rsid w:val="00EB6ADD"/>
    <w:rsid w:val="00EC56D9"/>
    <w:rsid w:val="00EE3CDA"/>
    <w:rsid w:val="00EE574C"/>
    <w:rsid w:val="00EF3DDB"/>
    <w:rsid w:val="00F36B58"/>
    <w:rsid w:val="00F51A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CA68A"/>
  <w15:chartTrackingRefBased/>
  <w15:docId w15:val="{097D8388-BBAD-4E3B-8078-D7D0A477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5A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5A0"/>
    <w:rPr>
      <w:sz w:val="18"/>
      <w:szCs w:val="18"/>
    </w:rPr>
  </w:style>
  <w:style w:type="paragraph" w:styleId="a7">
    <w:name w:val="List Paragraph"/>
    <w:basedOn w:val="a"/>
    <w:uiPriority w:val="34"/>
    <w:qFormat/>
    <w:rsid w:val="00DF25A0"/>
    <w:pPr>
      <w:ind w:firstLineChars="200" w:firstLine="420"/>
    </w:pPr>
  </w:style>
  <w:style w:type="paragraph" w:styleId="a8">
    <w:name w:val="Revision"/>
    <w:hidden/>
    <w:uiPriority w:val="99"/>
    <w:semiHidden/>
    <w:rsid w:val="003373F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可 王</cp:lastModifiedBy>
  <cp:revision>33</cp:revision>
  <dcterms:created xsi:type="dcterms:W3CDTF">2024-05-06T07:44:00Z</dcterms:created>
  <dcterms:modified xsi:type="dcterms:W3CDTF">2025-02-18T04:33:00Z</dcterms:modified>
</cp:coreProperties>
</file>